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F3" w:rsidRPr="00191B89" w:rsidRDefault="00C832F3" w:rsidP="00C832F3">
      <w:pPr>
        <w:pStyle w:val="a3"/>
        <w:ind w:right="419"/>
        <w:jc w:val="center"/>
        <w:rPr>
          <w:rFonts w:ascii="Times New Roman" w:hAnsi="Times New Roman" w:cs="Times New Roman"/>
        </w:rPr>
      </w:pPr>
      <w:r w:rsidRPr="00191B89">
        <w:rPr>
          <w:rFonts w:ascii="Times New Roman" w:hAnsi="Times New Roman" w:cs="Times New Roman"/>
        </w:rPr>
        <w:t>Приложение 1.Терапевтическая стоматология. Сроки службы и гарантийные сроки на виды работ при оказании стоматологической помощи</w:t>
      </w:r>
    </w:p>
    <w:p w:rsidR="00C832F3" w:rsidRPr="00191B89" w:rsidRDefault="00C832F3" w:rsidP="00C832F3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7"/>
        <w:gridCol w:w="5102"/>
        <w:gridCol w:w="1683"/>
        <w:gridCol w:w="1387"/>
      </w:tblGrid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Срок гарантии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Срок службы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Постановка пломб, эстетическая реставрация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Пломба из цемента (силикатного, </w:t>
            </w:r>
            <w:proofErr w:type="spellStart"/>
            <w:r w:rsidRPr="00191B89">
              <w:rPr>
                <w:rFonts w:ascii="Times New Roman" w:hAnsi="Times New Roman" w:cs="Times New Roman"/>
              </w:rPr>
              <w:t>силикофосфатного</w:t>
            </w:r>
            <w:proofErr w:type="spellEnd"/>
            <w:r w:rsidRPr="00191B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1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месяца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0,5 месяца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месяц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III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месяца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месяц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IY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нет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Y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месяц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Пломбы из пластмассы (</w:t>
            </w:r>
            <w:proofErr w:type="spellStart"/>
            <w:r w:rsidRPr="00191B89">
              <w:rPr>
                <w:rFonts w:ascii="Times New Roman" w:hAnsi="Times New Roman" w:cs="Times New Roman"/>
              </w:rPr>
              <w:t>акрилоксид</w:t>
            </w:r>
            <w:proofErr w:type="spellEnd"/>
            <w:r w:rsidRPr="00191B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карбодент</w:t>
            </w:r>
            <w:proofErr w:type="spellEnd"/>
            <w:r w:rsidRPr="00191B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месяцев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III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IY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Y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1.3..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Пломба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металлосодержания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III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IY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Y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Пломба из хим. композита (жидкость – порошок)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I, II, III, IY, Y  классы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9 месяцев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Пломба с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парапульпарными</w:t>
            </w:r>
            <w:proofErr w:type="spellEnd"/>
            <w:r w:rsidRPr="00191B89">
              <w:rPr>
                <w:rFonts w:ascii="Times New Roman" w:hAnsi="Times New Roman" w:cs="Times New Roman"/>
              </w:rPr>
              <w:t xml:space="preserve"> штифтами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1.5..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Пломба из хим.композита (паста-паста)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I, II, III, IY, Y классы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Пломба с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парапульпарными</w:t>
            </w:r>
            <w:proofErr w:type="spellEnd"/>
            <w:r w:rsidRPr="00191B89">
              <w:rPr>
                <w:rFonts w:ascii="Times New Roman" w:hAnsi="Times New Roman" w:cs="Times New Roman"/>
              </w:rPr>
              <w:t xml:space="preserve"> штифтами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1.6..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Пломба из композита светового отверждения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II класс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III, IY, Y классы по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 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 xml:space="preserve">Пломба с </w:t>
            </w:r>
            <w:proofErr w:type="spellStart"/>
            <w:r w:rsidRPr="00191B89">
              <w:rPr>
                <w:rFonts w:ascii="Times New Roman" w:hAnsi="Times New Roman" w:cs="Times New Roman"/>
              </w:rPr>
              <w:t>парапульпарными</w:t>
            </w:r>
            <w:proofErr w:type="spellEnd"/>
            <w:r w:rsidRPr="00191B89">
              <w:rPr>
                <w:rFonts w:ascii="Times New Roman" w:hAnsi="Times New Roman" w:cs="Times New Roman"/>
              </w:rPr>
              <w:t xml:space="preserve"> штифтами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91B89">
              <w:rPr>
                <w:rFonts w:ascii="Times New Roman" w:hAnsi="Times New Roman" w:cs="Times New Roman"/>
              </w:rPr>
              <w:t>Виниры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1,5 года</w:t>
            </w:r>
          </w:p>
        </w:tc>
      </w:tr>
      <w:tr w:rsidR="00C832F3" w:rsidRPr="00191B89" w:rsidTr="00610F6C">
        <w:trPr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Вкладки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F3" w:rsidRPr="00191B89" w:rsidRDefault="00C832F3" w:rsidP="00610F6C">
            <w:pPr>
              <w:pStyle w:val="a3"/>
              <w:rPr>
                <w:rFonts w:ascii="Times New Roman" w:hAnsi="Times New Roman" w:cs="Times New Roman"/>
              </w:rPr>
            </w:pPr>
            <w:r w:rsidRPr="00191B89">
              <w:rPr>
                <w:rFonts w:ascii="Times New Roman" w:hAnsi="Times New Roman" w:cs="Times New Roman"/>
              </w:rPr>
              <w:t>2 года</w:t>
            </w:r>
          </w:p>
        </w:tc>
      </w:tr>
    </w:tbl>
    <w:p w:rsidR="00C832F3" w:rsidRDefault="00C832F3" w:rsidP="00C832F3">
      <w:pPr>
        <w:pStyle w:val="a3"/>
        <w:ind w:firstLine="557"/>
        <w:rPr>
          <w:rFonts w:ascii="Times New Roman" w:hAnsi="Times New Roman" w:cs="Times New Roman"/>
        </w:rPr>
      </w:pPr>
    </w:p>
    <w:p w:rsidR="00C832F3" w:rsidRDefault="00C832F3" w:rsidP="00C832F3">
      <w:pPr>
        <w:pStyle w:val="a3"/>
        <w:ind w:firstLine="557"/>
        <w:rPr>
          <w:rFonts w:ascii="Times New Roman" w:hAnsi="Times New Roman" w:cs="Times New Roman"/>
        </w:rPr>
      </w:pPr>
    </w:p>
    <w:p w:rsidR="00C832F3" w:rsidRDefault="00C832F3" w:rsidP="00C832F3">
      <w:pPr>
        <w:pStyle w:val="a3"/>
        <w:ind w:firstLine="557"/>
        <w:rPr>
          <w:rFonts w:ascii="Times New Roman" w:hAnsi="Times New Roman" w:cs="Times New Roman"/>
        </w:rPr>
      </w:pPr>
    </w:p>
    <w:p w:rsidR="00C832F3" w:rsidRDefault="00C832F3" w:rsidP="00C832F3">
      <w:pPr>
        <w:pStyle w:val="a3"/>
        <w:ind w:firstLine="557"/>
        <w:rPr>
          <w:rFonts w:ascii="Times New Roman" w:hAnsi="Times New Roman" w:cs="Times New Roman"/>
        </w:rPr>
      </w:pPr>
    </w:p>
    <w:p w:rsidR="00C832F3" w:rsidRPr="00191B89" w:rsidRDefault="00C832F3" w:rsidP="00C832F3">
      <w:pPr>
        <w:pStyle w:val="a3"/>
        <w:ind w:firstLine="557"/>
        <w:rPr>
          <w:rFonts w:ascii="Times New Roman" w:hAnsi="Times New Roman" w:cs="Times New Roman"/>
        </w:rPr>
      </w:pPr>
      <w:r w:rsidRPr="00191B89">
        <w:rPr>
          <w:rFonts w:ascii="Times New Roman" w:hAnsi="Times New Roman" w:cs="Times New Roman"/>
        </w:rPr>
        <w:lastRenderedPageBreak/>
        <w:t>Примечание:</w:t>
      </w:r>
    </w:p>
    <w:p w:rsidR="00C832F3" w:rsidRPr="00191B89" w:rsidRDefault="00C832F3" w:rsidP="00C832F3">
      <w:pPr>
        <w:pStyle w:val="a3"/>
        <w:ind w:firstLine="557"/>
        <w:rPr>
          <w:rFonts w:ascii="Times New Roman" w:hAnsi="Times New Roman" w:cs="Times New Roman"/>
        </w:rPr>
      </w:pPr>
      <w:r w:rsidRPr="00191B89">
        <w:rPr>
          <w:rFonts w:ascii="Times New Roman" w:hAnsi="Times New Roman" w:cs="Times New Roman"/>
        </w:rPr>
        <w:t>1. Данные сроки рекомендованы для пациентов с единичным кариесом и множественным стабилизированным или при медленно текущем процессе. При КПУ зубов 13-18 – сроки снижаются на 30%. При КПУ&gt;18 – сроки снижаются на 50%.</w:t>
      </w:r>
    </w:p>
    <w:p w:rsidR="00C832F3" w:rsidRPr="00191B89" w:rsidRDefault="00C832F3" w:rsidP="00C832F3">
      <w:pPr>
        <w:pStyle w:val="a3"/>
        <w:ind w:firstLine="557"/>
        <w:rPr>
          <w:rFonts w:ascii="Times New Roman" w:hAnsi="Times New Roman" w:cs="Times New Roman"/>
        </w:rPr>
      </w:pPr>
      <w:r w:rsidRPr="00191B89">
        <w:rPr>
          <w:rFonts w:ascii="Times New Roman" w:hAnsi="Times New Roman" w:cs="Times New Roman"/>
        </w:rPr>
        <w:t>2. При неудовлетворительной гигиене полости рта – сроки уменьшаются на 70%.</w:t>
      </w:r>
    </w:p>
    <w:p w:rsidR="000F79CE" w:rsidRDefault="000F79CE"/>
    <w:sectPr w:rsidR="000F79CE" w:rsidSect="000F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C832F3"/>
    <w:rsid w:val="000F79CE"/>
    <w:rsid w:val="00C8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2016-04-25T01:27:00Z</dcterms:created>
  <dcterms:modified xsi:type="dcterms:W3CDTF">2016-04-25T01:27:00Z</dcterms:modified>
</cp:coreProperties>
</file>